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27.png" ContentType="image/png"/>
  <Override PartName="/word/media/rId99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 7</w:t>
      </w:r>
    </w:p>
    <w:p>
      <w:pPr>
        <w:pStyle w:val="Subtitle"/>
      </w:pPr>
      <w:r>
        <w:t xml:space="preserve">Введение в работу сданными</w:t>
      </w:r>
    </w:p>
    <w:p>
      <w:pPr>
        <w:pStyle w:val="Author"/>
      </w:pPr>
      <w:r>
        <w:t xml:space="preserve">Беличева Дарья Михайловна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освоение специализированных пакетов Julia для обработки данных.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Используя JupyterLab, повторите примерыи. При этом дополните графики</w:t>
      </w:r>
      <w:r>
        <w:t xml:space="preserve"> </w:t>
      </w:r>
      <w:r>
        <w:t xml:space="preserve">обозначениями осей координат, легендой с названиями траекторий, названиями</w:t>
      </w:r>
      <w:r>
        <w:t xml:space="preserve"> </w:t>
      </w:r>
      <w:r>
        <w:t xml:space="preserve">графиков и т.п.</w:t>
      </w:r>
    </w:p>
    <w:p>
      <w:pPr>
        <w:numPr>
          <w:ilvl w:val="0"/>
          <w:numId w:val="1001"/>
        </w:numPr>
      </w:pPr>
      <w:r>
        <w:t xml:space="preserve">Выполните задания для самостоятельной работы.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Julia – высокоуровневый свободный язык программирования с динамической типизацией, созданный для математических вычислений</w:t>
      </w:r>
      <w:r>
        <w:t xml:space="preserve"> </w:t>
      </w:r>
      <w:r>
        <w:t xml:space="preserve">[1]</w:t>
      </w:r>
      <w:r>
        <w:t xml:space="preserve">. Эффективен также и для написания программ общего назначения. Синтаксис языка схож с синтаксисом других математических языков, однако имеет некоторые существенные отличия.</w:t>
      </w:r>
    </w:p>
    <w:p>
      <w:pPr>
        <w:pStyle w:val="BodyText"/>
      </w:pPr>
      <w:r>
        <w:t xml:space="preserve">Для выполнения заданий была использована официальная документация Julia</w:t>
      </w:r>
      <w:r>
        <w:t xml:space="preserve"> </w:t>
      </w:r>
      <w:r>
        <w:t xml:space="preserve">[2]</w:t>
      </w:r>
      <w:r>
        <w:t xml:space="preserve">.</w:t>
      </w:r>
    </w:p>
    <w:bookmarkEnd w:id="22"/>
    <w:bookmarkStart w:id="103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Выполним примеры из лабораторной работы (рис. 1-13).</w:t>
      </w:r>
    </w:p>
    <w:bookmarkStart w:id="26" w:name="fig:001"/>
    <w:p>
      <w:pPr>
        <w:pStyle w:val="CaptionedFigure"/>
      </w:pPr>
      <w:r>
        <w:drawing>
          <wp:inline>
            <wp:extent cx="3733800" cy="3285295"/>
            <wp:effectExtent b="0" l="0" r="0" t="0"/>
            <wp:docPr descr="Рис. 1: Считывание данных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85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Считывание данных</w:t>
      </w:r>
    </w:p>
    <w:bookmarkEnd w:id="26"/>
    <w:bookmarkStart w:id="30" w:name="fig:002"/>
    <w:p>
      <w:pPr>
        <w:pStyle w:val="CaptionedFigure"/>
      </w:pPr>
      <w:r>
        <w:drawing>
          <wp:inline>
            <wp:extent cx="3733800" cy="3803230"/>
            <wp:effectExtent b="0" l="0" r="0" t="0"/>
            <wp:docPr descr="Рис. 2: Запись данных в файл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03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Запись данных в файл</w:t>
      </w:r>
    </w:p>
    <w:bookmarkEnd w:id="30"/>
    <w:bookmarkStart w:id="34" w:name="fig:003"/>
    <w:p>
      <w:pPr>
        <w:pStyle w:val="CaptionedFigure"/>
      </w:pPr>
      <w:r>
        <w:drawing>
          <wp:inline>
            <wp:extent cx="3733800" cy="2139515"/>
            <wp:effectExtent b="0" l="0" r="0" t="0"/>
            <wp:docPr descr="Рис. 3: Словари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39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Словари</w:t>
      </w:r>
    </w:p>
    <w:bookmarkEnd w:id="34"/>
    <w:bookmarkStart w:id="38" w:name="fig:004"/>
    <w:p>
      <w:pPr>
        <w:pStyle w:val="CaptionedFigure"/>
      </w:pPr>
      <w:r>
        <w:drawing>
          <wp:inline>
            <wp:extent cx="3733800" cy="4662054"/>
            <wp:effectExtent b="0" l="0" r="0" t="0"/>
            <wp:docPr descr="Рис. 4: DataFrames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62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DataFrames</w:t>
      </w:r>
    </w:p>
    <w:bookmarkEnd w:id="38"/>
    <w:bookmarkStart w:id="42" w:name="fig:005"/>
    <w:p>
      <w:pPr>
        <w:pStyle w:val="CaptionedFigure"/>
      </w:pPr>
      <w:r>
        <w:drawing>
          <wp:inline>
            <wp:extent cx="3733800" cy="3195328"/>
            <wp:effectExtent b="0" l="0" r="0" t="0"/>
            <wp:docPr descr="Рис. 5: RDatasets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953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RDatasets</w:t>
      </w:r>
    </w:p>
    <w:bookmarkEnd w:id="42"/>
    <w:bookmarkStart w:id="46" w:name="fig:006"/>
    <w:p>
      <w:pPr>
        <w:pStyle w:val="CaptionedFigure"/>
      </w:pPr>
      <w:r>
        <w:drawing>
          <wp:inline>
            <wp:extent cx="3733800" cy="3535193"/>
            <wp:effectExtent b="0" l="0" r="0" t="0"/>
            <wp:docPr descr="Рис. 6: Работа с переменными отсутствующеготипа (MissingValues)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35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Работа с переменными отсутствующеготипа (MissingValues)</w:t>
      </w:r>
    </w:p>
    <w:bookmarkEnd w:id="46"/>
    <w:bookmarkStart w:id="50" w:name="fig:007"/>
    <w:p>
      <w:pPr>
        <w:pStyle w:val="CaptionedFigure"/>
      </w:pPr>
      <w:r>
        <w:drawing>
          <wp:inline>
            <wp:extent cx="3733800" cy="5161839"/>
            <wp:effectExtent b="0" l="0" r="0" t="0"/>
            <wp:docPr descr="Рис. 7: FileIO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161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FileIO</w:t>
      </w:r>
    </w:p>
    <w:bookmarkEnd w:id="50"/>
    <w:bookmarkStart w:id="54" w:name="fig:008"/>
    <w:p>
      <w:pPr>
        <w:pStyle w:val="CaptionedFigure"/>
      </w:pPr>
      <w:r>
        <w:drawing>
          <wp:inline>
            <wp:extent cx="3733800" cy="3839573"/>
            <wp:effectExtent b="0" l="0" r="0" t="0"/>
            <wp:docPr descr="Рис. 8: Кластеризация данных. Метод k-средних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39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Кластеризация данных. Метод k-средних</w:t>
      </w:r>
    </w:p>
    <w:bookmarkEnd w:id="54"/>
    <w:bookmarkStart w:id="58" w:name="fig:009"/>
    <w:p>
      <w:pPr>
        <w:pStyle w:val="CaptionedFigure"/>
      </w:pPr>
      <w:r>
        <w:drawing>
          <wp:inline>
            <wp:extent cx="3733800" cy="5298440"/>
            <wp:effectExtent b="0" l="0" r="0" t="0"/>
            <wp:docPr descr="Рис. 9: Кластеризация данных. Метод k-средних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298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Кластеризация данных. Метод k-средних</w:t>
      </w:r>
    </w:p>
    <w:bookmarkEnd w:id="58"/>
    <w:bookmarkStart w:id="62" w:name="fig:010"/>
    <w:p>
      <w:pPr>
        <w:pStyle w:val="CaptionedFigure"/>
      </w:pPr>
      <w:r>
        <w:drawing>
          <wp:inline>
            <wp:extent cx="3733800" cy="3717775"/>
            <wp:effectExtent b="0" l="0" r="0" t="0"/>
            <wp:docPr descr="Рис. 10: ластеризация данных. Метод k ближайших соседей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1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ластеризация данных. Метод k ближайших соседей</w:t>
      </w:r>
    </w:p>
    <w:bookmarkEnd w:id="62"/>
    <w:bookmarkStart w:id="66" w:name="fig:011"/>
    <w:p>
      <w:pPr>
        <w:pStyle w:val="CaptionedFigure"/>
      </w:pPr>
      <w:r>
        <w:drawing>
          <wp:inline>
            <wp:extent cx="3733800" cy="4551331"/>
            <wp:effectExtent b="0" l="0" r="0" t="0"/>
            <wp:docPr descr="Рис. 11: Обработка данных. Метод главных компонент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51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Обработка данных. Метод главных компонент</w:t>
      </w:r>
    </w:p>
    <w:bookmarkEnd w:id="66"/>
    <w:bookmarkStart w:id="70" w:name="fig:012"/>
    <w:p>
      <w:pPr>
        <w:pStyle w:val="CaptionedFigure"/>
      </w:pPr>
      <w:r>
        <w:drawing>
          <wp:inline>
            <wp:extent cx="3733800" cy="4640124"/>
            <wp:effectExtent b="0" l="0" r="0" t="0"/>
            <wp:docPr descr="Рис. 12: Обработка данных. Линейная регрессия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40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Обработка данных. Линейная регрессия</w:t>
      </w:r>
    </w:p>
    <w:bookmarkEnd w:id="70"/>
    <w:bookmarkStart w:id="74" w:name="fig:013"/>
    <w:p>
      <w:pPr>
        <w:pStyle w:val="CaptionedFigure"/>
      </w:pPr>
      <w:r>
        <w:drawing>
          <wp:inline>
            <wp:extent cx="3733800" cy="3031038"/>
            <wp:effectExtent b="0" l="0" r="0" t="0"/>
            <wp:docPr descr="Рис. 13: Обработка данных. Линейная регрессия" title="" id="72" name="Picture"/>
            <a:graphic>
              <a:graphicData uri="http://schemas.openxmlformats.org/drawingml/2006/picture">
                <pic:pic>
                  <pic:nvPicPr>
                    <pic:cNvPr descr="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310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Обработка данных. Линейная регрессия</w:t>
      </w:r>
    </w:p>
    <w:bookmarkEnd w:id="74"/>
    <w:p>
      <w:pPr>
        <w:pStyle w:val="BodyText"/>
      </w:pPr>
      <w:r>
        <w:t xml:space="preserve">Теперь выполним задания для самостоятельный работы.</w:t>
      </w:r>
    </w:p>
    <w:p>
      <w:pPr>
        <w:pStyle w:val="BodyText"/>
      </w:pPr>
      <w:r>
        <w:t xml:space="preserve">Загрузим</w:t>
      </w:r>
    </w:p>
    <w:p>
      <w:pPr>
        <w:pStyle w:val="SourceCode"/>
      </w:pPr>
      <w:r>
        <w:rPr>
          <w:rStyle w:val="ImportTok"/>
        </w:rPr>
        <w:t xml:space="preserve">using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RDatasets</w:t>
      </w:r>
      <w:r>
        <w:br/>
      </w:r>
      <w:r>
        <w:rPr>
          <w:rStyle w:val="NormalTok"/>
        </w:rPr>
        <w:t xml:space="preserve">iris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dataset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"datasets"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"iris"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Используем Clustering.jl для кластеризации на основе k-средних. Сделаем точечную диаграмму полученных кластеров. Для этого проиндексируем фрейм данных, преобразуем его</w:t>
      </w:r>
      <w:r>
        <w:t xml:space="preserve"> </w:t>
      </w:r>
      <w:r>
        <w:t xml:space="preserve">в массив и транспонируем (рис. 14).</w:t>
      </w:r>
    </w:p>
    <w:bookmarkStart w:id="78" w:name="fig:014"/>
    <w:p>
      <w:pPr>
        <w:pStyle w:val="CaptionedFigure"/>
      </w:pPr>
      <w:r>
        <w:drawing>
          <wp:inline>
            <wp:extent cx="3733800" cy="3733800"/>
            <wp:effectExtent b="0" l="0" r="0" t="0"/>
            <wp:docPr descr="Рис. 14: Кластеризация" title="" id="76" name="Picture"/>
            <a:graphic>
              <a:graphicData uri="http://schemas.openxmlformats.org/drawingml/2006/picture">
                <pic:pic>
                  <pic:nvPicPr>
                    <pic:cNvPr descr="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Кластеризация</w:t>
      </w:r>
    </w:p>
    <w:bookmarkEnd w:id="78"/>
    <w:bookmarkStart w:id="82" w:name="fig:015"/>
    <w:p>
      <w:pPr>
        <w:pStyle w:val="CaptionedFigure"/>
      </w:pPr>
      <w:r>
        <w:drawing>
          <wp:inline>
            <wp:extent cx="3733800" cy="3750746"/>
            <wp:effectExtent b="0" l="0" r="0" t="0"/>
            <wp:docPr descr="Рис. 15: Кластеризация" title="" id="80" name="Picture"/>
            <a:graphic>
              <a:graphicData uri="http://schemas.openxmlformats.org/drawingml/2006/picture">
                <pic:pic>
                  <pic:nvPicPr>
                    <pic:cNvPr descr="image/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507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Кластеризация</w:t>
      </w:r>
    </w:p>
    <w:bookmarkEnd w:id="82"/>
    <w:p>
      <w:pPr>
        <w:pStyle w:val="BodyText"/>
      </w:pPr>
      <w:r>
        <w:t xml:space="preserve">Пусть регрессионная зависимость являетсял инейной. Матрица наблюдений</w:t>
      </w:r>
      <w:r>
        <w:t xml:space="preserve"> </w:t>
      </w:r>
      <w:r>
        <w:t xml:space="preserve">факторов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имеет размерность</w:t>
      </w:r>
      <w:r>
        <w:t xml:space="preserve"> </w:t>
      </w:r>
      <m:oMath>
        <m:r>
          <m:t>N</m:t>
        </m:r>
        <m:r>
          <m:rPr>
            <m:sty m:val="p"/>
          </m:rPr>
          <m:t>×</m:t>
        </m:r>
        <m:r>
          <m:t>3</m:t>
        </m:r>
      </m:oMath>
      <w:r>
        <w:t xml:space="preserve"> </w:t>
      </w:r>
      <w:r>
        <w:rPr>
          <w:rStyle w:val="VerbatimChar"/>
        </w:rPr>
        <w:t xml:space="preserve">randn (N, 3)</w:t>
      </w:r>
      <w:r>
        <w:t xml:space="preserve">, массив результато в</w:t>
      </w:r>
      <w:r>
        <w:t xml:space="preserve"> </w:t>
      </w:r>
      <m:oMath>
        <m:r>
          <m:t>N</m:t>
        </m:r>
        <m:r>
          <m:rPr>
            <m:sty m:val="p"/>
          </m:rPr>
          <m:t>×</m:t>
        </m:r>
        <m:r>
          <m:t>1</m:t>
        </m:r>
      </m:oMath>
      <w:r>
        <w:t xml:space="preserve">, регрессионная зависимость является линейной.Найдем МНК-оценку для линейной модели.</w:t>
      </w:r>
    </w:p>
    <w:p>
      <w:pPr>
        <w:pStyle w:val="Compact"/>
        <w:numPr>
          <w:ilvl w:val="0"/>
          <w:numId w:val="1002"/>
        </w:numPr>
      </w:pPr>
      <w:r>
        <w:t xml:space="preserve">Сравним свои результаты с результатами использования</w:t>
      </w:r>
      <w:r>
        <w:t xml:space="preserve"> </w:t>
      </w:r>
      <w:r>
        <w:rPr>
          <w:rStyle w:val="VerbatimChar"/>
        </w:rPr>
        <w:t xml:space="preserve">llsq</w:t>
      </w:r>
      <w:r>
        <w:t xml:space="preserve"> </w:t>
      </w:r>
      <w:r>
        <w:t xml:space="preserve">из</w:t>
      </w:r>
      <w:r>
        <w:t xml:space="preserve"> </w:t>
      </w:r>
      <w:r>
        <w:rPr>
          <w:rStyle w:val="VerbatimChar"/>
        </w:rPr>
        <w:t xml:space="preserve">MultivariateStats.jl</w:t>
      </w:r>
      <w:r>
        <w:t xml:space="preserve">.</w:t>
      </w:r>
    </w:p>
    <w:p>
      <w:pPr>
        <w:pStyle w:val="Compact"/>
        <w:numPr>
          <w:ilvl w:val="0"/>
          <w:numId w:val="1002"/>
        </w:numPr>
      </w:pPr>
      <w:r>
        <w:t xml:space="preserve">Сравним свои результаты с результатамии спользования регулярной регрессии наименьших квадратов из</w:t>
      </w:r>
      <w:r>
        <w:t xml:space="preserve"> </w:t>
      </w:r>
      <w:r>
        <w:rPr>
          <w:rStyle w:val="VerbatimChar"/>
        </w:rPr>
        <w:t xml:space="preserve">GLM.jl</w:t>
      </w:r>
      <w:r>
        <w:t xml:space="preserve">.</w:t>
      </w:r>
    </w:p>
    <w:p>
      <w:pPr>
        <w:pStyle w:val="FirstParagraph"/>
      </w:pPr>
      <w:r>
        <w:t xml:space="preserve">Cоздадим матрицу данных</w:t>
      </w:r>
      <w:r>
        <w:t xml:space="preserve"> </w:t>
      </w:r>
      <m:oMath>
        <m:r>
          <m:t>X</m:t>
        </m:r>
        <m:r>
          <m:t>2</m:t>
        </m:r>
      </m:oMath>
      <w:r>
        <w:t xml:space="preserve">, которая добавляет столбец единиц в начало матрицы данных, и решим систему линейных уравнений.</w:t>
      </w:r>
    </w:p>
    <w:bookmarkStart w:id="86" w:name="fig:016"/>
    <w:p>
      <w:pPr>
        <w:pStyle w:val="CaptionedFigure"/>
      </w:pPr>
      <w:r>
        <w:drawing>
          <wp:inline>
            <wp:extent cx="3733800" cy="3827420"/>
            <wp:effectExtent b="0" l="0" r="0" t="0"/>
            <wp:docPr descr="Рис. 16: Регрессия" title="" id="84" name="Picture"/>
            <a:graphic>
              <a:graphicData uri="http://schemas.openxmlformats.org/drawingml/2006/picture">
                <pic:pic>
                  <pic:nvPicPr>
                    <pic:cNvPr descr="image/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7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Регрессия</w:t>
      </w:r>
    </w:p>
    <w:bookmarkEnd w:id="86"/>
    <w:p>
      <w:pPr>
        <w:pStyle w:val="BodyText"/>
      </w:pPr>
      <w:r>
        <w:t xml:space="preserve">Найдем линию регрессии, используя данные</w:t>
      </w:r>
      <w:r>
        <w:t xml:space="preserve"> </w:t>
      </w:r>
      <m:oMath>
        <m:d>
          <m:dPr>
            <m:begChr m:val="("/>
            <m:sepChr m:val=""/>
            <m:endChr m:val=")"/>
            <m:grow/>
          </m:dPr>
          <m:e>
            <m:r>
              <m:t>X</m:t>
            </m:r>
            <m:r>
              <m:rPr>
                <m:sty m:val="p"/>
              </m:rPr>
              <m:t>,</m:t>
            </m:r>
            <m:r>
              <m:t>y</m:t>
            </m:r>
          </m:e>
        </m:d>
      </m:oMath>
      <w:r>
        <w:t xml:space="preserve">. Построем график</w:t>
      </w:r>
      <w:r>
        <w:t xml:space="preserve"> </w:t>
      </w:r>
      <m:oMath>
        <m:d>
          <m:dPr>
            <m:begChr m:val="("/>
            <m:sepChr m:val=""/>
            <m:endChr m:val=")"/>
            <m:grow/>
          </m:dPr>
          <m:e>
            <m:r>
              <m:t>X</m:t>
            </m:r>
            <m:r>
              <m:rPr>
                <m:sty m:val="p"/>
              </m:rPr>
              <m:t>,</m:t>
            </m:r>
            <m:r>
              <m:t>y</m:t>
            </m:r>
          </m:e>
        </m:d>
      </m:oMath>
      <w:r>
        <w:t xml:space="preserve">,</w:t>
      </w:r>
      <w:r>
        <w:t xml:space="preserve"> </w:t>
      </w:r>
      <w:r>
        <w:t xml:space="preserve">используя точечный график. Добавим линию регрессии, используя abline!. Добавим заголовок «График регрессии» и подпишим оси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и</w:t>
      </w:r>
      <w:r>
        <w:t xml:space="preserve"> </w:t>
      </w:r>
      <m:oMath>
        <m:r>
          <m:t>y</m:t>
        </m:r>
      </m:oMath>
      <w:r>
        <w:t xml:space="preserve">.</w:t>
      </w:r>
    </w:p>
    <w:bookmarkStart w:id="90" w:name="fig:017"/>
    <w:p>
      <w:pPr>
        <w:pStyle w:val="CaptionedFigure"/>
      </w:pPr>
      <w:r>
        <w:drawing>
          <wp:inline>
            <wp:extent cx="3733800" cy="4190410"/>
            <wp:effectExtent b="0" l="0" r="0" t="0"/>
            <wp:docPr descr="Рис. 17: Регрессия" title="" id="88" name="Picture"/>
            <a:graphic>
              <a:graphicData uri="http://schemas.openxmlformats.org/drawingml/2006/picture">
                <pic:pic>
                  <pic:nvPicPr>
                    <pic:cNvPr descr="image/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90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Регрессия</w:t>
      </w:r>
    </w:p>
    <w:bookmarkEnd w:id="90"/>
    <w:p>
      <w:pPr>
        <w:pStyle w:val="BodyText"/>
      </w:pPr>
      <w:r>
        <w:t xml:space="preserve">Построим траекторию возможных цен на акции:</w:t>
      </w:r>
    </w:p>
    <w:p>
      <w:pPr>
        <w:pStyle w:val="Compact"/>
        <w:numPr>
          <w:ilvl w:val="0"/>
          <w:numId w:val="1003"/>
        </w:numPr>
      </w:pPr>
      <m:oMath>
        <m:r>
          <m:t>S</m:t>
        </m:r>
      </m:oMath>
      <w:r>
        <w:t xml:space="preserve"> </w:t>
      </w:r>
      <w:r>
        <w:t xml:space="preserve">– начальная цена акции;</w:t>
      </w:r>
    </w:p>
    <w:p>
      <w:pPr>
        <w:pStyle w:val="Compact"/>
        <w:numPr>
          <w:ilvl w:val="0"/>
          <w:numId w:val="1003"/>
        </w:numPr>
      </w:pPr>
      <m:oMath>
        <m:r>
          <m:t>T</m:t>
        </m:r>
      </m:oMath>
      <w:r>
        <w:t xml:space="preserve"> </w:t>
      </w:r>
      <w:r>
        <w:t xml:space="preserve">– длина биномиального дерева в годах;</w:t>
      </w:r>
    </w:p>
    <w:p>
      <w:pPr>
        <w:pStyle w:val="Compact"/>
        <w:numPr>
          <w:ilvl w:val="0"/>
          <w:numId w:val="1003"/>
        </w:numPr>
      </w:pPr>
      <m:oMath>
        <m:r>
          <m:t>n</m:t>
        </m:r>
      </m:oMath>
      <w:r>
        <w:t xml:space="preserve"> </w:t>
      </w:r>
      <w:r>
        <w:t xml:space="preserve">– количество периодов;</w:t>
      </w:r>
    </w:p>
    <w:p>
      <w:pPr>
        <w:pStyle w:val="Compact"/>
        <w:numPr>
          <w:ilvl w:val="0"/>
          <w:numId w:val="1003"/>
        </w:numPr>
      </w:pPr>
      <m:oMath>
        <m:r>
          <m:t>h</m:t>
        </m:r>
        <m:r>
          <m:rPr>
            <m:sty m:val="p"/>
          </m:rPr>
          <m:t>=</m:t>
        </m:r>
        <m:r>
          <m:t>T</m:t>
        </m:r>
        <m:r>
          <m:t>n</m:t>
        </m:r>
      </m:oMath>
      <w:r>
        <w:t xml:space="preserve"> </w:t>
      </w:r>
      <w:r>
        <w:t xml:space="preserve">– длина одного периода;</w:t>
      </w:r>
    </w:p>
    <w:p>
      <w:pPr>
        <w:pStyle w:val="Compact"/>
        <w:numPr>
          <w:ilvl w:val="0"/>
          <w:numId w:val="1003"/>
        </w:numPr>
      </w:pPr>
      <m:oMath>
        <m:r>
          <m:t>σ</m:t>
        </m:r>
      </m:oMath>
      <w:r>
        <w:t xml:space="preserve"> </w:t>
      </w:r>
      <w:r>
        <w:t xml:space="preserve">– волатильность акции;</w:t>
      </w:r>
    </w:p>
    <w:p>
      <w:pPr>
        <w:pStyle w:val="Compact"/>
        <w:numPr>
          <w:ilvl w:val="0"/>
          <w:numId w:val="1003"/>
        </w:numPr>
      </w:pPr>
      <m:oMath>
        <m:r>
          <m:t>r</m:t>
        </m:r>
      </m:oMath>
      <w:r>
        <w:t xml:space="preserve"> </w:t>
      </w:r>
      <w:r>
        <w:t xml:space="preserve">– годовая процентная ставка;</w:t>
      </w:r>
    </w:p>
    <w:p>
      <w:pPr>
        <w:pStyle w:val="Compact"/>
        <w:numPr>
          <w:ilvl w:val="0"/>
          <w:numId w:val="1003"/>
        </w:numPr>
      </w:pPr>
      <m:oMath>
        <m:r>
          <m:t>u</m:t>
        </m:r>
        <m:r>
          <m:rPr>
            <m:sty m:val="p"/>
          </m:rPr>
          <m:t>=</m:t>
        </m:r>
        <m:r>
          <m:rPr>
            <m:sty m:val="p"/>
          </m:rPr>
          <m:t>e</m:t>
        </m:r>
        <m:r>
          <m:rPr>
            <m:sty m:val="p"/>
          </m:rPr>
          <m:t>x</m:t>
        </m:r>
        <m:r>
          <m:rPr>
            <m:sty m:val="p"/>
          </m:rPr>
          <m:t>p</m:t>
        </m:r>
        <m:d>
          <m:dPr>
            <m:begChr m:val="("/>
            <m:sepChr m:val=""/>
            <m:endChr m:val=")"/>
            <m:grow/>
          </m:dPr>
          <m:e>
            <m:r>
              <m:t>r</m:t>
            </m:r>
            <m:r>
              <m:t>h</m:t>
            </m:r>
            <m:r>
              <m:rPr>
                <m:sty m:val="p"/>
              </m:rPr>
              <m:t>+</m:t>
            </m:r>
            <m:r>
              <m:t>σ</m:t>
            </m:r>
            <m:rad>
              <m:radPr>
                <m:degHide m:val="on"/>
              </m:radPr>
              <m:deg/>
              <m:e>
                <m:r>
                  <m:t>h</m:t>
                </m:r>
              </m:e>
            </m:rad>
          </m:e>
        </m:d>
      </m:oMath>
      <w:r>
        <w:t xml:space="preserve">;</w:t>
      </w:r>
    </w:p>
    <w:p>
      <w:pPr>
        <w:pStyle w:val="Compact"/>
        <w:numPr>
          <w:ilvl w:val="0"/>
          <w:numId w:val="1003"/>
        </w:numPr>
      </w:pPr>
      <m:oMath>
        <m:r>
          <m:t>d</m:t>
        </m:r>
        <m:r>
          <m:rPr>
            <m:sty m:val="p"/>
          </m:rPr>
          <m:t>=</m:t>
        </m:r>
        <m:r>
          <m:rPr>
            <m:sty m:val="p"/>
          </m:rPr>
          <m:t>e</m:t>
        </m:r>
        <m:r>
          <m:rPr>
            <m:sty m:val="p"/>
          </m:rPr>
          <m:t>x</m:t>
        </m:r>
        <m:r>
          <m:rPr>
            <m:sty m:val="p"/>
          </m:rPr>
          <m:t>p</m:t>
        </m:r>
        <m:d>
          <m:dPr>
            <m:begChr m:val="("/>
            <m:sepChr m:val=""/>
            <m:endChr m:val=")"/>
            <m:grow/>
          </m:dPr>
          <m:e>
            <m:r>
              <m:t>r</m:t>
            </m:r>
            <m:r>
              <m:t>h</m:t>
            </m:r>
            <m:r>
              <m:rPr>
                <m:sty m:val="p"/>
              </m:rPr>
              <m:t>−</m:t>
            </m:r>
            <m:r>
              <m:t>σ</m:t>
            </m:r>
            <m:rad>
              <m:radPr>
                <m:degHide m:val="on"/>
              </m:radPr>
              <m:deg/>
              <m:e>
                <m:r>
                  <m:t>h</m:t>
                </m:r>
              </m:e>
            </m:rad>
          </m:e>
        </m:d>
      </m:oMath>
      <w:r>
        <w:t xml:space="preserve">;</w:t>
      </w:r>
    </w:p>
    <w:p>
      <w:pPr>
        <w:pStyle w:val="Compact"/>
        <w:numPr>
          <w:ilvl w:val="0"/>
          <w:numId w:val="1003"/>
        </w:numPr>
      </w:pPr>
      <m:oMath>
        <m:sSup>
          <m:e>
            <m:r>
              <m:t>p</m:t>
            </m:r>
          </m:e>
          <m:sup>
            <m:r>
              <m:rPr>
                <m:sty m:val="p"/>
              </m:rPr>
              <m:t>*</m:t>
            </m:r>
          </m:sup>
        </m:sSup>
        <m:r>
          <m:rPr>
            <m:sty m:val="p"/>
          </m:rPr>
          <m:t>=</m:t>
        </m:r>
        <m:f>
          <m:fPr>
            <m:type m:val="bar"/>
          </m:fPr>
          <m:num>
            <m:r>
              <m:rPr>
                <m:sty m:val="p"/>
              </m:rPr>
              <m:t>e</m:t>
            </m:r>
            <m:r>
              <m:rPr>
                <m:sty m:val="p"/>
              </m:rPr>
              <m:t>x</m:t>
            </m:r>
            <m:r>
              <m:rPr>
                <m:sty m:val="p"/>
              </m:rPr>
              <m:t>p</m:t>
            </m:r>
            <m:d>
              <m:dPr>
                <m:begChr m:val="("/>
                <m:sepChr m:val=""/>
                <m:endChr m:val=")"/>
                <m:grow/>
              </m:dPr>
              <m:e>
                <m:r>
                  <m:t>r</m:t>
                </m:r>
                <m:r>
                  <m:t>h</m:t>
                </m:r>
              </m:e>
            </m:d>
            <m:r>
              <m:rPr>
                <m:sty m:val="p"/>
              </m:rPr>
              <m:t>−</m:t>
            </m:r>
            <m:r>
              <m:t>d</m:t>
            </m:r>
          </m:num>
          <m:den>
            <m:r>
              <m:t>u</m:t>
            </m:r>
            <m:r>
              <m:rPr>
                <m:sty m:val="p"/>
              </m:rPr>
              <m:t>−</m:t>
            </m:r>
            <m:r>
              <m:t>d</m:t>
            </m:r>
          </m:den>
        </m:f>
      </m:oMath>
      <w:r>
        <w:t xml:space="preserve">;</w:t>
      </w:r>
    </w:p>
    <w:p>
      <w:pPr>
        <w:pStyle w:val="FirstParagraph"/>
      </w:pPr>
      <w:r>
        <w:t xml:space="preserve">Пусть</w:t>
      </w:r>
      <w:r>
        <w:t xml:space="preserve"> </w:t>
      </w:r>
      <m:oMath>
        <m:r>
          <m:t>S</m:t>
        </m:r>
        <m:r>
          <m:rPr>
            <m:sty m:val="p"/>
          </m:rPr>
          <m:t>=</m:t>
        </m:r>
        <m:r>
          <m:t>100</m:t>
        </m:r>
        <m:r>
          <m:rPr>
            <m:sty m:val="p"/>
          </m:rPr>
          <m:t>,</m:t>
        </m:r>
        <m:r>
          <m:t> </m:t>
        </m:r>
        <m:r>
          <m:t>T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 </m:t>
        </m:r>
        <m:r>
          <m:t>n</m:t>
        </m:r>
        <m:r>
          <m:rPr>
            <m:sty m:val="p"/>
          </m:rPr>
          <m:t>=</m:t>
        </m:r>
        <m:r>
          <m:t>10000</m:t>
        </m:r>
        <m:r>
          <m:rPr>
            <m:sty m:val="p"/>
          </m:rPr>
          <m:t>,</m:t>
        </m:r>
        <m:r>
          <m:t> </m:t>
        </m:r>
        <m:r>
          <m:t>σ</m:t>
        </m:r>
        <m:r>
          <m:rPr>
            <m:sty m:val="p"/>
          </m:rPr>
          <m:t>=</m:t>
        </m:r>
        <m:r>
          <m:t>0.3</m:t>
        </m:r>
      </m:oMath>
      <w:r>
        <w:t xml:space="preserve"> </w:t>
      </w:r>
      <w:r>
        <w:t xml:space="preserve">и</w:t>
      </w:r>
      <w:r>
        <w:t xml:space="preserve"> </w:t>
      </w:r>
      <m:oMath>
        <m:r>
          <m:t>r</m:t>
        </m:r>
        <m:r>
          <m:rPr>
            <m:sty m:val="p"/>
          </m:rPr>
          <m:t>=</m:t>
        </m:r>
        <m:r>
          <m:t>0.08</m:t>
        </m:r>
      </m:oMath>
      <w:r>
        <w:t xml:space="preserve">. Попробуем построить траекторию курса акций.</w:t>
      </w:r>
    </w:p>
    <w:bookmarkStart w:id="94" w:name="fig:018"/>
    <w:p>
      <w:pPr>
        <w:pStyle w:val="CaptionedFigure"/>
      </w:pPr>
      <w:r>
        <w:drawing>
          <wp:inline>
            <wp:extent cx="3733800" cy="3361601"/>
            <wp:effectExtent b="0" l="0" r="0" t="0"/>
            <wp:docPr descr="Рис. 18: Модель ценообразования биномиальных опционов" title="" id="92" name="Picture"/>
            <a:graphic>
              <a:graphicData uri="http://schemas.openxmlformats.org/drawingml/2006/picture">
                <pic:pic>
                  <pic:nvPicPr>
                    <pic:cNvPr descr="image/1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61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Модель ценообразования биномиальных опционов</w:t>
      </w:r>
    </w:p>
    <w:bookmarkEnd w:id="94"/>
    <w:p>
      <w:pPr>
        <w:pStyle w:val="BodyText"/>
      </w:pPr>
      <w:r>
        <w:t xml:space="preserve">Создадим функцию</w:t>
      </w:r>
      <w:r>
        <w:t xml:space="preserve"> </w:t>
      </w:r>
      <w:r>
        <w:rPr>
          <w:rStyle w:val="VerbatimChar"/>
        </w:rPr>
        <w:t xml:space="preserve">createPath (S ::Float64, r ::Float64, sigma ::Float64, T ::Float64, n ::Int64)</w:t>
      </w:r>
      <w:r>
        <w:t xml:space="preserve">, которая создает траекторию цены ак-</w:t>
      </w:r>
      <w:r>
        <w:t xml:space="preserve"> </w:t>
      </w:r>
      <w:r>
        <w:t xml:space="preserve">ции с учетом начальных параметров. Используем</w:t>
      </w:r>
      <w:r>
        <w:t xml:space="preserve"> </w:t>
      </w:r>
      <w:r>
        <w:rPr>
          <w:rStyle w:val="VerbatimChar"/>
        </w:rPr>
        <w:t xml:space="preserve">createPath</w:t>
      </w:r>
      <w:r>
        <w:t xml:space="preserve">, чтобы создать 10</w:t>
      </w:r>
      <w:r>
        <w:t xml:space="preserve"> </w:t>
      </w:r>
      <w:r>
        <w:t xml:space="preserve">разных траекторий и построим их все на одном графике.</w:t>
      </w:r>
    </w:p>
    <w:bookmarkStart w:id="98" w:name="fig:019"/>
    <w:p>
      <w:pPr>
        <w:pStyle w:val="CaptionedFigure"/>
      </w:pPr>
      <w:r>
        <w:drawing>
          <wp:inline>
            <wp:extent cx="3733800" cy="3564631"/>
            <wp:effectExtent b="0" l="0" r="0" t="0"/>
            <wp:docPr descr="Рис. 19: Модель ценообразования биномиальных опционов" title="" id="96" name="Picture"/>
            <a:graphic>
              <a:graphicData uri="http://schemas.openxmlformats.org/drawingml/2006/picture">
                <pic:pic>
                  <pic:nvPicPr>
                    <pic:cNvPr descr="image/1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64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Модель ценообразования биномиальных опционов</w:t>
      </w:r>
    </w:p>
    <w:bookmarkEnd w:id="98"/>
    <w:p>
      <w:pPr>
        <w:pStyle w:val="BodyText"/>
      </w:pPr>
      <w:r>
        <w:t xml:space="preserve">Распараллелим генерацию траектории. Можем использовать</w:t>
      </w:r>
      <w:r>
        <w:t xml:space="preserve"> </w:t>
      </w:r>
      <w:r>
        <w:rPr>
          <w:rStyle w:val="VerbatimChar"/>
        </w:rPr>
        <w:t xml:space="preserve">Threads.@threads</w:t>
      </w:r>
      <w:r>
        <w:t xml:space="preserve">,</w:t>
      </w:r>
      <w:r>
        <w:t xml:space="preserve"> </w:t>
      </w:r>
      <w:r>
        <w:rPr>
          <w:rStyle w:val="VerbatimChar"/>
        </w:rPr>
        <w:t xml:space="preserve">pmap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@parallel</w:t>
      </w:r>
      <w:r>
        <w:t xml:space="preserve">.</w:t>
      </w:r>
    </w:p>
    <w:bookmarkStart w:id="102" w:name="fig:020"/>
    <w:p>
      <w:pPr>
        <w:pStyle w:val="CaptionedFigure"/>
      </w:pPr>
      <w:r>
        <w:drawing>
          <wp:inline>
            <wp:extent cx="3733800" cy="3530809"/>
            <wp:effectExtent b="0" l="0" r="0" t="0"/>
            <wp:docPr descr="Рис. 20: Модель ценообразования биномиальных опционов" title="" id="100" name="Picture"/>
            <a:graphic>
              <a:graphicData uri="http://schemas.openxmlformats.org/drawingml/2006/picture">
                <pic:pic>
                  <pic:nvPicPr>
                    <pic:cNvPr descr="image/2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30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Модель ценообразования биномиальных опционов</w:t>
      </w:r>
    </w:p>
    <w:bookmarkEnd w:id="102"/>
    <w:bookmarkEnd w:id="103"/>
    <w:bookmarkStart w:id="104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я освоила специализированные пакеты Julia для обработки данных.</w:t>
      </w:r>
    </w:p>
    <w:bookmarkEnd w:id="104"/>
    <w:bookmarkStart w:id="110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r>
        <w:t xml:space="preserve">::: {#ref}s</w:t>
      </w:r>
      <w:r>
        <w:t xml:space="preserve"> </w:t>
      </w:r>
      <w:r>
        <w:t xml:space="preserve">:::</w:t>
      </w:r>
    </w:p>
    <w:bookmarkStart w:id="109" w:name="refs"/>
    <w:bookmarkStart w:id="106" w:name="ref-julialang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JuliaLang [Электронный ресурс]. 2024 JuliaLang.org contributors. URL:</w:t>
      </w:r>
      <w:r>
        <w:t xml:space="preserve"> </w:t>
      </w:r>
      <w:hyperlink r:id="rId105">
        <w:r>
          <w:rPr>
            <w:rStyle w:val="Hyperlink"/>
          </w:rPr>
          <w:t xml:space="preserve">https://julialang.org/</w:t>
        </w:r>
      </w:hyperlink>
      <w:r>
        <w:t xml:space="preserve"> </w:t>
      </w:r>
      <w:r>
        <w:t xml:space="preserve">(дата обращения: 11.10.2024).</w:t>
      </w:r>
    </w:p>
    <w:bookmarkEnd w:id="106"/>
    <w:bookmarkStart w:id="108" w:name="ref-juliadoc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Julia 1.11 Documentation [Электронный ресурс]. 2024 JuliaLang.org contributors. URL:</w:t>
      </w:r>
      <w:r>
        <w:t xml:space="preserve"> </w:t>
      </w:r>
      <w:hyperlink r:id="rId107">
        <w:r>
          <w:rPr>
            <w:rStyle w:val="Hyperlink"/>
          </w:rPr>
          <w:t xml:space="preserve">https://docs.julialang.org/en/v1/</w:t>
        </w:r>
      </w:hyperlink>
      <w:r>
        <w:t xml:space="preserve"> </w:t>
      </w:r>
      <w:r>
        <w:t xml:space="preserve">(дата обращения: 11.10.2024).</w:t>
      </w:r>
    </w:p>
    <w:bookmarkEnd w:id="108"/>
    <w:bookmarkEnd w:id="109"/>
    <w:bookmarkEnd w:id="11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27" Target="media/rId27.png" /><Relationship Type="http://schemas.openxmlformats.org/officeDocument/2006/relationships/image" Id="rId99" Target="media/rId99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hyperlink" Id="rId107" Target="https://docs.julialang.org/en/v1/" TargetMode="External" /><Relationship Type="http://schemas.openxmlformats.org/officeDocument/2006/relationships/hyperlink" Id="rId105" Target="https://julialang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7" Target="https://docs.julialang.org/en/v1/" TargetMode="External" /><Relationship Type="http://schemas.openxmlformats.org/officeDocument/2006/relationships/hyperlink" Id="rId105" Target="https://julialang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7</dc:title>
  <dc:creator>Беличева Дарья Михайловна</dc:creator>
  <dc:language>ru-RU</dc:language>
  <cp:keywords/>
  <dcterms:created xsi:type="dcterms:W3CDTF">2024-12-27T13:52:28Z</dcterms:created>
  <dcterms:modified xsi:type="dcterms:W3CDTF">2024-12-27T13:52:28Z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False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Введение в работу сданными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